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Приложение №</w:t>
      </w:r>
      <w:r w:rsidR="000D2723" w:rsidRPr="000D2723">
        <w:rPr>
          <w:rFonts w:ascii="Times New Roman" w:hAnsi="Times New Roman"/>
          <w:sz w:val="28"/>
          <w:szCs w:val="28"/>
        </w:rPr>
        <w:t xml:space="preserve"> 5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9F6C03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от 28.08.2018 </w:t>
      </w:r>
      <w:r w:rsidR="00342540" w:rsidRPr="000D2723">
        <w:rPr>
          <w:rFonts w:ascii="Times New Roman" w:hAnsi="Times New Roman"/>
          <w:sz w:val="28"/>
          <w:szCs w:val="28"/>
        </w:rPr>
        <w:t xml:space="preserve">№ </w:t>
      </w:r>
      <w:bookmarkStart w:id="0" w:name="_GoBack"/>
      <w:bookmarkEnd w:id="0"/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«Приложение № 10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к решению Думы города Пыть-Яха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>от 21.12.2017 № 129</w:t>
      </w:r>
    </w:p>
    <w:p w:rsidR="00342540" w:rsidRPr="000D2723" w:rsidRDefault="00342540" w:rsidP="00342540">
      <w:pPr>
        <w:spacing w:after="0" w:line="240" w:lineRule="auto"/>
        <w:jc w:val="right"/>
        <w:rPr>
          <w:rFonts w:ascii="Times New Roman" w:hAnsi="Times New Roman"/>
          <w:sz w:val="28"/>
          <w:szCs w:val="28"/>
        </w:rPr>
      </w:pPr>
    </w:p>
    <w:p w:rsidR="00342540" w:rsidRPr="00342540" w:rsidRDefault="00342540" w:rsidP="00342540">
      <w:pPr>
        <w:spacing w:after="0" w:line="240" w:lineRule="auto"/>
        <w:jc w:val="center"/>
        <w:rPr>
          <w:rFonts w:ascii="Times New Roman" w:hAnsi="Times New Roman"/>
          <w:sz w:val="28"/>
          <w:szCs w:val="28"/>
        </w:rPr>
      </w:pPr>
      <w:r w:rsidRPr="000D2723">
        <w:rPr>
          <w:rFonts w:ascii="Times New Roman" w:hAnsi="Times New Roman"/>
          <w:sz w:val="28"/>
          <w:szCs w:val="28"/>
        </w:rPr>
        <w:t xml:space="preserve">Распределение бюджетных ассигнований по целевым статьям (муниципальным </w:t>
      </w:r>
      <w:r w:rsidRPr="00342540">
        <w:rPr>
          <w:rFonts w:ascii="Times New Roman" w:hAnsi="Times New Roman"/>
          <w:sz w:val="28"/>
          <w:szCs w:val="28"/>
        </w:rPr>
        <w:t>программам и непрограммным направлениям деятельности), группам и подгруппам видов расходов классификации расходов бюджета города Пыть-Яха на плановый период 2019 и 2020 год</w:t>
      </w:r>
    </w:p>
    <w:p w:rsidR="005957A3" w:rsidRDefault="005957A3">
      <w:pPr>
        <w:rPr>
          <w:rFonts w:ascii="Times New Roman" w:hAnsi="Times New Roman"/>
          <w:sz w:val="20"/>
          <w:szCs w:val="20"/>
        </w:rPr>
      </w:pPr>
    </w:p>
    <w:p w:rsidR="002A003A" w:rsidRDefault="000D2723" w:rsidP="000D2723">
      <w:pPr>
        <w:jc w:val="right"/>
        <w:rPr>
          <w:rFonts w:ascii="Times New Roman" w:hAnsi="Times New Roman"/>
          <w:sz w:val="20"/>
          <w:szCs w:val="20"/>
        </w:rPr>
      </w:pPr>
      <w:r>
        <w:rPr>
          <w:rFonts w:ascii="Times New Roman" w:hAnsi="Times New Roman"/>
          <w:sz w:val="20"/>
          <w:szCs w:val="20"/>
        </w:rPr>
        <w:t>тыс. рублей</w:t>
      </w:r>
    </w:p>
    <w:tbl>
      <w:tblPr>
        <w:tblW w:w="10349" w:type="dxa"/>
        <w:tblInd w:w="-289" w:type="dxa"/>
        <w:tblLook w:val="04A0" w:firstRow="1" w:lastRow="0" w:firstColumn="1" w:lastColumn="0" w:noHBand="0" w:noVBand="1"/>
      </w:tblPr>
      <w:tblGrid>
        <w:gridCol w:w="5529"/>
        <w:gridCol w:w="1418"/>
        <w:gridCol w:w="850"/>
        <w:gridCol w:w="1276"/>
        <w:gridCol w:w="1276"/>
      </w:tblGrid>
      <w:tr w:rsidR="002A003A" w:rsidRPr="002A003A" w:rsidTr="007A714F">
        <w:trPr>
          <w:trHeight w:val="300"/>
        </w:trPr>
        <w:tc>
          <w:tcPr>
            <w:tcW w:w="5529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Наименование</w:t>
            </w:r>
          </w:p>
        </w:tc>
        <w:tc>
          <w:tcPr>
            <w:tcW w:w="1418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ЦСР</w:t>
            </w:r>
          </w:p>
        </w:tc>
        <w:tc>
          <w:tcPr>
            <w:tcW w:w="850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ВР</w:t>
            </w:r>
          </w:p>
        </w:tc>
        <w:tc>
          <w:tcPr>
            <w:tcW w:w="2552" w:type="dxa"/>
            <w:gridSpan w:val="2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Сумма на год</w:t>
            </w:r>
          </w:p>
        </w:tc>
      </w:tr>
      <w:tr w:rsidR="002A003A" w:rsidRPr="002A003A" w:rsidTr="007A714F">
        <w:trPr>
          <w:trHeight w:val="465"/>
        </w:trPr>
        <w:tc>
          <w:tcPr>
            <w:tcW w:w="5529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418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850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2019  год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2020  год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</w:t>
            </w:r>
          </w:p>
        </w:tc>
        <w:tc>
          <w:tcPr>
            <w:tcW w:w="850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</w:t>
            </w:r>
          </w:p>
        </w:tc>
        <w:tc>
          <w:tcPr>
            <w:tcW w:w="1276" w:type="dxa"/>
            <w:tcBorders>
              <w:top w:val="nil"/>
              <w:left w:val="nil"/>
              <w:bottom w:val="nil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образования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01.0.00.00000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1 507 912,2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1 501 682,2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"Общее образование. Дополнительное образование детей"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1 328 674,4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1 322 444,4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системы дошкольного и общего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2 408,0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2 362,3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приоритетного проекта "Доступное дополнительное образование для детей", обновление содержания дополнительного образования. Развитие региональной системы воспитания"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C13F7E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28 024,3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реализации основных общеобразовательных программ в образовательных организациях"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1 229 682,3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1 223 452,3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185 560,8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56 077,6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129 483,2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программ дошкольного образования муниципальным 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503 166,6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510 150,9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государственных гарантий на получение образования и осуществления переданных органам местного самоуправления муниципальных образований автономного округа отдельных государственных полномочий в области образования на реализацию основных общеобразовательных программ муниципальным общеобразовательным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540 954,9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527 740,6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490 741,5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481 399,2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01.1.03.84303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46 341,4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"Дополнительное финансовое обеспечение мероприятий по организации питания обучающихся"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40 901,4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28 688,0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26 232,2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01.1.04.82460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2 455,8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Дополнительное финансовое обеспечение мероприятий по организации питания обучающихся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12 213,4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11 087,4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01.1.04.S2460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1 126,0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функционирования и обеспечения системы персонифицированного дополнительного образования детей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20 135,4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летнего отдыха, оздоровления детей и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организации отдыха и оздоровления детей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01.1.06.20010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1 923,0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01.1.06.82050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3 920,0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Организация питания детей в возрасте от 6 до 17 лет (включительно) в лагерях с дневным пребыванием детей, в возрасте от 8 до 17 лет (включительно) – в палаточных лагерях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01.1.06.S2050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"Система оценки качества образования и информационная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региональной системы оценки качества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и проведение единого государственного экзамена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01.2.01.85020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информационной открытости и прозрачности системы образования"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"Молодежь Югры и допризывная подготовка"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88 845,9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"Содействие профориентации и карьерным устремлениям молодежи"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развития гражданского-патриотических, военно-патриотических качеств молодежи"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"Социализация детей и молодых людей, оказавшихся в трудной жизненной ситуации"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29 163,2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развития молодежной политики и патриотического воспитания граждан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53 728,3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детских и молодежных общественных организаций и объединений"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мероприятий в области молодежной политики и военно-патриотического воспитания молодежи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01.3.05.61810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4 414,4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"Ресурсное обеспечение в сфере образования и молодежной политики"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полномочий по исполнению публичных обязательств перед физическими лицами"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89 379,4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Социальная поддержка отдельных категорий обучающихся в муниципальных общеобразовательных организациях, частных общеобразовательных организациях, осуществляющих образовательную деятельность по имеющим государственную аккредитацию основным общеобразовательным программам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43 159,0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39 320,5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3 838,5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Выплата компенсации части родительской платы за присмотр и уход за детьми в образовательных организациях, реализующих образовательные программы дошкольного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38 335,0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1 472,0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36 564,0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отдельного государственного полномочия по организации отдыха и оздоровления детей, в том числе в этнической среде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01.4.01.84080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"Социальная поддержка жителей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65 356,0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59 142,3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"Дети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44 668,3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43 797,4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"Дополнительные гарантии и дополнительные меры социальной поддержки детей-сирот и детей, оставшихся без попечения родителей, лиц из их числа, а также граждан, принявших на воспитание детей, оставшихся без родительского попечения"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дополнительных мер социальной поддержки детям-сиротам и детям, оставшимся без попечения родителей, лицам из числа детей-сирот и детей, оставшихся без попечения родителей, усыновителям, приемным родителям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02.1.01.84060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24 393,8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23 522,9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"Исполнение отдельных государственных полномочий"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20 274,5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деятельности по опеке и попечительству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11 502,5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10 256,6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образованию и организации деятельности комиссий по делам несовершеннолетних и защите их прав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8 772,0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7 794,2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02.1.02.84270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977,8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"Социальная поддержка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доступности и реализация социальных гарантий для отдельных категорий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7 764,3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7 909,3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Пенсии за выслугу лет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02.2.01.71010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6 034,3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Денежные выплаты почетным гражданам города Пыть-Яха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социальные выплаты гражданам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02.2.01.72010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"Преодоление социальной исключённости"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благосостояния граждан, нуждающихся в особой заботе государства"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12 923,4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7 435,6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дополнительных гарантий прав на жилое помещение детей-сирот и детей, оставшихся без попечения родителей, лиц из числа детей-сирот и детей, оставшихся без попечения родителей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118,6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02.3.01.84090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жилых помещений детям-сиротам и детям, оставшимся без попечения родителей, лицам из их числа по договорам найма специализированных жилых помещений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02.3.01.84310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12 804,8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7 317,0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культуры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199 017,2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202 763,5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"Сохранение исторического и культурного наследия, снижение инфраструктурных ограничений с целью обеспечения функционирования всех видов культурной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58 689,3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62 352,0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библиотечного дела"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46 209,2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46 274,7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45 775,1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отрасли культуры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04.1.01.L5190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92,9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04.1.01.S2520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музейного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12 233,4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11 769,4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11 690,7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04.1.02.82520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461,3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66,9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Развитие сферы культуры в муниципальных образованиях автономного округа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04.1.02.S2520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архивного дела"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хранению, комплектованию, учету и использованию архивных документов, относящихся к государственной собственности Ханты-Мансийского автономного округа - Югры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04.1.03.84100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267,5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"Укрепление материально-технической базы муниципальных учреждений культуры"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04.1.04.82420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Содействие развитию исторических и иных местных традиций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04.1.04.S2420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единого культурного пространства"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140 327,9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140 411,5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одаренных детей и молодежи, развитие художественного образования"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63 646,4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профессионального искусства"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76 651,5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76 735,1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"Сохранение нематериального и материального наследия Югры и продвижение культурных проектов"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04.2.03.00590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физической культуры и спорта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90 610,2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массовой физической культуры и спорта"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22 059,7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 Организация и проведение официальных физкультурных (физкультурно-оздоровительных)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внедрения Всероссийского физкультурно-спортивного комплекса "Готов к труду и обороне" (ГТО)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359,4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в официальных физкультурных (физкультурно-оздоровительных)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1 249,9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предоставлении физкультурно-оздоровительных услуг,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05.1.04.00590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19 520,3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спорта высших достижений и системы подготовки спортивного резерва"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68 550,5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официальных спортивных мероприятий"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210,4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участия спортивных сборных команд в официальных спортивных мероприятиях"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05.2.02.00590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2 914,6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удовлетворения потребности населения муниципального образования в оказании услуг в сфере физической культуры и спорта (содержание учреждений), предоставление в пользование населению спортивных сооружений"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64 681,3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учащихся спортивных школ спортивным оборудованием, экипировкой и инвентарем, проведению тренировочных сборов и участию в соревнованиях"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744,2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05.2.05.82110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Софинансирование расходов муниципальных образований по обеспечению физкультурно-спортивных организаций, осуществляющих подготовку спортивного резерва, спортивным оборудованием, экипировкой и инвентарем, проведению тренировочных сборов и участию в соревнованиях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05.2.05.S2110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"Содействие занятости населения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7 525,3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7 830,2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трудоустройству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трудоустройства незанятых трудовой деятельностью и безработных граждан"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830,2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06.1.01.85060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"Сопровождение инвалидов, включая инвалидов молодого возраста, при трудоустройстве"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 Содействие трудоустройству граждан с инвалидностью и их адаптация на рынке труда 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06.2.01.85060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BB172D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Основное мероприятие "Организация сопровождения инвалидов, включая инвалидов молодого возраста и инвалидов, при трудоустройстве и </w:t>
            </w:r>
            <w:r w:rsidR="00BB172D" w:rsidRPr="002A003A">
              <w:rPr>
                <w:rFonts w:ascii="Times New Roman" w:eastAsia="Times New Roman" w:hAnsi="Times New Roman"/>
                <w:sz w:val="20"/>
                <w:szCs w:val="20"/>
              </w:rPr>
              <w:t>самозанятости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 по содействию трудоустройству граждан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06.2.02.85060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646,3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"Улучшение условий и охраны труда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5 893,5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6 036,5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"Совершенствование механизма управления охраной труда в муниципальном образовании"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5 205,6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3 511,8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в сфере трудовых отношений и государственного управления охраной труда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1 609,3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1 569,3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06.3.01.84120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обучения в области охраны труда руководителей и специалистов, из числа работников муниципальных учреждений"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181,5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258,5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смотров-конкурсов по охране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безопасных условий и охраны труда"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06.3.05.99990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76,4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агропромышленного комплекса и рынков сельскохозяйственной продукции, сырья и продовольствия в муниципальном образовании городской округ город Пыть-Ях на 2018-2025 годы и на период до 2030 годах"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19 213,0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19 313,0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прочего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"Развитие животноводства"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животноводства, переработки и реализации продукции животноводства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4B0C57">
        <w:trPr>
          <w:trHeight w:val="57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07.1.01.84150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12 670,0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12 770,0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малых форм хозяйствования"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"Поддержка малых форм хозяйствования"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малых форм хозяйствования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07.2.01.84170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стабильной благополучной эпизоотической обстановки в муниципальном образовании и защита населения от болезней общих для человека и животных"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07.4.01.84200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Проведение мероприятий по предупреждению и ликвидации болезней животных, их лечению, защите населения от болезней, общих для человека и животных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07.4.01.G4200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"Общепрограммные мероприятия"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общих условий функционирования и развития сельского хозяйства"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07.5.01.99990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доступным и комфортным жильем жителей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58 467,8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60 513,0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градостроительной деятельности"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2 450,0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документов территориального планирования, внесение в них изменений"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4B0C57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2 250,0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"Внедрение новой версии информационной системы обеспечения градостроительной деятельности (ИСОГД)"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местных нормативов градостроительного проектирования"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развитию жилищного строительства"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30 000,7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31 846,0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"Приобретение жилья для переселения граждан из жилых помещений, признанных непригодными для проживания, на обеспечение жильем граждан, состоящих на учете для его получения на условиях социального найма, и на обеспечение работников бюджетной сферы служебным жильем и общежитиями, формирование маневренного жилищного фонда"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19 088,8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17 615,8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08.2.01.82172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16 989,0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15 678,1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Приобретение жилья, в целях реализации муниципальными образованиями автономного округа (городскими округами и муниципальными районами) полномочий в области жилищных отношений, установленных законодательством Российской Федерации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08.2.01.S2172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2 099,8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1 937,7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"Ликвидация и расселение приспособленных для проживания строений"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9 911,9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13 230,2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08.2.02.82173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8 821,6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11 774,9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программ муниципальных образований автономного округа по ликвидации и расселению приспособленных для проживания строений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08.2.02.S2173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1 090,3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"Демонтаж аварийного, непригодного жилищного фонда, временных строений, приспособленных для проживания"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08.2.03.99990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мерами государственной поддержки по улучшению жилищных условий отдельных категорий граждан"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4 161,5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ветеранов Великой Отечественной войны, ветеранов боевых действий, инвалидов и семей, имеющих детей-инвалидов, вставших на учет в качестве нуждающихся в жилых помещениях до 1 января 2005 года"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2 378,1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федеральными законами от 12 января 1995 года № 5-ФЗ "О ветеранах" и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08.3.01.51350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792,7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обеспечению жильем отдельных категорий граждан, установленных Федеральным законом от 24 ноября 1995 года № 181-ФЗ "О социальной защите инвалидов в Российской Федерации"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08.3.01.51760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1 585,4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"Улучшение жилищных условий молодых семей в соответствии с Федеральной целевой программой "Жилище"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Мероприятия подпрограммы "Обеспечение жильем молодых семей" 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Социальные выплаты гражданам, кроме публичных нормативных социальных выплат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08.3.02.L4970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1 768,1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полномочий, указанных в пунктах 3.1, 3.2 статьи 2 Закона Ханты-Мансийского автономного округа – Югры от 31 марта 2009 года № 36-оз "О наделении органов местного самоуправления муниципальных образований Ханты-Мансийского автономного округа – Югры отдельными государственными полномочиями для обеспечения жилыми помещениями отдельных категорий граждан, определенных федеральным законодательством"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08.3.04.84220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"Организационное обеспечение деятельности МКУ "Управление капитального строительства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функций заказчика по строительству объектов, выполнение проектных, проектно-изыскательских и строительно-монтажных работ"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22 055,5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17 035,3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4 787,8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08.4.01.00590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232,4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жилищно-коммунального комплекса и повышение энергетической эффективности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405 697,0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440 979,8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"Создание условий для обеспечения качественными коммунальными услугами"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"Реконструкция, расширение, модернизация, строительство объектов коммунального комплекса"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374 537,7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412 064,2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09.1.01.82190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355 810,8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391 461,0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Реконструкция, расширение, модернизация, строительство и капитальный ремонт объектов коммунального комплекса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Капитальные вложения в объекты государственной (муниципальной) собственности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Бюджетные инвестиции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09.1.01.S2190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18 726,9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20 603,2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"Содействие проведению капитального ремонта многоквартирных домов"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мероприятий по капитальному ремонту многоквартирных домов"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некоммерческой организации "Югорский фонд капитального ремонта многоквартирных домов" на обеспечение мероприятий по капитальному ремонту многоквартирных домов за счет средств бюджета города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09.2.01.09602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4 666,6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"Поддержка частных инвестиций в жилищно-коммунальном комплексе и обеспечение безубыточной деятельности организаций коммунального комплекса, осуществляющих регулируемую деятельность в сфере теплоснабжения, водоснабжения, водоотведения"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"Проведение капитального ремонта (с заменой) газопроводов, систем теплоснабжения, водоснабжения и водоотведения для подготовки к осенне-зимнему периоду"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21 165,8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18 922,2</w:t>
            </w:r>
          </w:p>
        </w:tc>
      </w:tr>
      <w:tr w:rsidR="002A003A" w:rsidRPr="002A003A" w:rsidTr="004B0C57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09.3.01.82591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19 049,2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17 029,9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Капитальный ремонт (с заменой) систем газораспределения, теплоснабжения, водоснабжения и водоотведения, в том числе с применением композитных материалов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09.3.01.S2591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2 116,6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1 892,3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"Формирование комфортной городской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"Приоритетный проект "Формирование комфортной городской среды"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5 326,8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муниципальных программ формирования современной городской среды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09.6.01.L5550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3 026,8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 государственной политике в сфере обеспечения межнационального согласия, гражданского единства, отдельных прав и законных интересов граждан, а также в вопросах обеспечения общественного порядка и профилактики экстремизма, незаконного оборота и потребления наркотических средств и психотропных веществ в муниципальном образовании городской округ город Пыть-Ях в 2018-2025 годах и на период до 2030 года 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7 209,0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7 210,4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правонарушений в сфере общественного порядка"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6 805,4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наиболее криминогенных общественных местах и на улицах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2 157,0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общественного порядка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10.1.01.20050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1 257,0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Обеспечение функционирования и развития систем видеонаблюдения в сфере общественного порядка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10.1.01.82290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Обеспечение функционирования и развития систем видеонаблюдения в сфере общественного порядка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10.1.01.S2290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"Создание условий для деятельности народных дружин"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129,9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10.1.02.82300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90,9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Создание условий для деятельности народных дружин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10.1.02.S2300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созданию и обеспечению деятельности административной комиссии"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1332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по созданию административных комиссий и определению перечня должностных лиц органов местного самоуправления, уполномоченных составлять протоколы об административных правонарушениях, предусмотренных пунктом 2 статьи 48 Закона Ханты-Мансийского автономного округа – Югры от 11 июня 2010 года № 102-оз "Об административных правонарушениях"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1 617,1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1 528,8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10.1.03.84250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88,3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"Осуществление государственных полномочий по составлению (изменению) списков кандидатов в присяжные заседатели федеральных судов общей юрисдикции"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10.1.04.51200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функционирования и развития систем видеонаблюдения в сфере безопасности дорожного движения, информирования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2 886,6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профилактике правонарушений в сфере безопасности дорожного движения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10.1.05.20060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1 307,2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10.1.05.82310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1 263,5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Размещение систем видеообзора, модернизация, обеспечение функционирования систем видеонаблюдения с целью повышения безопасности дорожного движения и информирование населения о необходимости соблюдения правил дорожного движения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10.1.05.S2310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315,9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рецидивных преступлений"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созданию условий для трудовой занятости, профессионального обучения осужденных, ресоциализации лиц, готовящихся к освобождению из мест лишения свободы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10.1.07.20110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незаконного оборота и потребления наркотических средств и психотропных веществ"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информационной антинаркотической политики"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Мероприятия по противодействию злоупотреблению наркотиками и их незаконному обороту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10.2.02.20040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"Профилактика экстремизма"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межэтнической интеграции, профилактика ксенофобии и экстремизма, подготовка кадров в сфере формирования установок толерантного сознания и межкультурного воспитания и другие мероприятия"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10.3.01.99990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"Гармонизация межнациональных отношений, обеспечение гражданского единства"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Международного дня толерантности"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10.4.01.99990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Муниципальная программа "Защита населения и территорий от чрезвычайных ситуаций, обеспечение пожарной безопасности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23 909,1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и обеспечение мероприятий в сфере гражданской обороны, защиты населения и территории муниципального образования городской округ город Пыть-Ях от чрезвычайных ситуаций"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2 097,2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"Переподготовка и повышение квалификации работников"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пропаганды и обучение населения способам защиты и действиям в чрезвычайных ситуациях"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безопасности граждан на водных объектах"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защиты населения и территории от угроз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1 903,2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"Укрепление пожарной безопасности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противопожарной защиты территорий"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2 079,4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1 243,7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835,7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"Материально-техническое и финансовое обеспечение деятельности МКУ "ЕДДС города Пыть-Яха"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"Финансовое обеспечение осуществления МКУ "ЕДДС города Пыть-Яха" установленных видов деятельности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19 732,5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3 005,8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11.3.01.00590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126,7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"Обеспечение экологической безопасности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4 911,2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4 441,2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"Регулирование качества окружающей среды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967,0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497,0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охране городских территорий, водного и воздушного бассейнов, почвенного покрова города от загрязнения атмосферными выбросами, бытовыми и промышленными стоками и отходами"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и проведение мероприятий в рамках международной экологической акции "Спасти и сохранить"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397,0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"Участие в окружном конкурсе "Лучшее муниципальное образование Ханты-Мансийского автономного округа-Югры в сфере отношений, связанных с охраной окружающей среды"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системы обращения с отходами производства и потребления в муниципальном образовании городской округ г.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"Разработка и реализация мероприятий по ликвидации несанкционированных свалок"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721,1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отдельных государственных полномочий Ханты-Мансийского автономного округа – Югры в сфере обращения с твердыми коммунальными отходами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108,1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12.2.02.84290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613,0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противоэпидемиологических мероприятий"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"Профилактика инфекционных и паразитарных заболеваний, включая иммунопрофилактику (дезинсекция и дератизация территорий в муниципальном образовании)"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Организация осуществления мероприятий по проведению дезинсекции и дератизации в Ханты-Мансийском автономном округе - Югре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3 223,1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12.3.01.84280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3 189,1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"Социально-экономическое развитие и повышение инвестиционной привлекательности муниципального образования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43 110,5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"Совершенствование муниципального 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предоставления государственных и муниципальных услуг в многофункциональных центрах"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42 951,1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19 888,4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13.2.01.82370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21 909,6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государственных услуг в многофункциональных центрах предоставления государственных и муниципальных услуг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бюджетным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13.2.01.S2370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1 153,1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"Создание условий для развития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13.3.01.S2380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субъектов малого и среднего предпринимательства"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Поддержка малого и среднего предпринимательства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13.3.02.S2380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"Пропаганда и популяризация предпринимательской деятельности в средствах массовой информации и сети Интернет"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13.3.03.99990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"Информационное общество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6 937,5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"Формирование информационных ресурсов и обеспечение доступа к ним с помощью интернет-сайтов и информационных систем"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14.0.01.20070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"Развитие и сопровождение информационных систем в деятельности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14.0.02.20070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3 314,5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информационной безопасности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14.0.03.20070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1 375,0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"Модернизация оборудования, развитие и поддержка корпоративной сети органа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14.0.04.20070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"Увеличение количества программного обеспечения с неисключительными правами, используемого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Услуги в области информационных технологий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14.0.05.20070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транспортной системы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145 956,8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"Автомобильный транспорт"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"Субсидии предприятиям автомобильного транспорта на возмещение убытков от перевозки пассажиров на городских маршрутах"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15.1.01.61100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60 873,2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"Дорожное хозяйство"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85 083,6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автомобильных дорог и искусственных сооружений на них"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51 210,7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"Строительство (реконструкция), капитальный ремонт и ремонт автомобильных дорог общего пользования местного значения"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33 872,9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15.2.03.82390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32 179,3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Строительство (реконструкция), капитальный ремонт и ремонт автомобильных дорог общего пользования местного значения за счет средств бюджета города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15.2.03.S2390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1 693,6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муниципальными финансами в муниципальном образовании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13 607,0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11 180,0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"Организация бюджетного процесса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"Управление резервными средствами бюджета города"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Резервный фонд администрации города Пыть-Ях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16.1.03.20220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"Средства, иным образом зарезервированные в бюджете города в соответствии с действующим законодательством, с целью последующего их распределения при наступлении установленных условий"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16.1.04.99990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"Управление муниципальным долгом в муниципальном образовании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"Обслуживание муниципального долга городского округа"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Процентные платежи по муниципальному долгу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государственного (муниципального)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Обслуживание муниципального долга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16.2.01.20720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3 107,0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680,0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"Развитие гражданского общества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25 372,7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"Финансовая поддержка социально ориентированных некоммерческих организаций"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социально ориентированным некоммерческим организациям на реализацию социально значимых программ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некоммерческим организациям (за исключением государственных (муниципальных) учреждений)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17.0.01.61820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1 574,0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открытости органов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"Организация функционирования телерадиовещания"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17.0.03.00590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15 812,2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"Подготовка и размещение информации о деятельности органов местного самоуправления муниципального образования городской округ Пыть-Ях в городском общественно-политическом еженедельнике "Новая Северная газета"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бюджетным, автономным учреждениям и иным некоммерческим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автономным учреждениям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17.0.04.00590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7 937,1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"Управление муниципальным имуществом муниципального образования городской округ город Пыть-Ях на 2018-2025 годы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24 963,4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22 761,4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"Совершенствование системы управления муниципальным имуществом"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2 508,6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надлежащего уровня эксплуатации муниципального имущества"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11 066,5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8 654,5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10 996,5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8 584,5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"Страхование муниципального имущества в целях смягчения последствий чрезвычайных ситуаций природного и техногенного характера"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18.0.03.99990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6 187,3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"Оплата взносов по капитальному ремонту общего имущества многоквартирных домов (доля муниципального образования)"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2 751,0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"Проведение мероприятий по землеустройству и землепользованию"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18.0.05.99990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1 450,0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1 660,0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"Предоставление субсидий организациям"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18.0.07.61100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1 000,0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Муниципальная программа "Создание условий для обеспечения деятельности исполнительно-распорядительного органа местного самоуправления, развития муниципальной службы и резерва управленческих кадров в муниципальном образовании городской округ город Пыть-Ях в 2018-2025 годах и на период до 2030 года"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388 227,5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388 201,5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"Обеспечение деятельности администрации города Пыть-Яха"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387 155,5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387 129,5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условий для осуществления возложенных на администрацию города вопросов местного значения в соответствии с Уставом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380 750,5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деятельности (оказание услуг) муниципальных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132 886,3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казенных учреждений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116 150,5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16 414,5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19.1.01.00590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321,3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Высшее должностное лицо муниципального образования городской округ город Пыть-Ях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4 432,1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240 205,9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215 887,1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20 145,2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4 173,6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2 592,2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2 326,2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266,0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Полномочия главы города Пыть-Яха  в сфере наград и почётных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634,0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319,0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19.1.01.72030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315,0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"Реализация переданных государственных полномочий по государственной регистрации актов гражданского состояния"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6 405,0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6 379,0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актов гражданского состояния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5 809,0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5 476,0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5 461,0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19.1.02.59300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333,0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1069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переданных органам государственной власти субъектов Российской Федерации в соответствии с пунктом 1 статьи 4 Федерального закона от 15 ноября 1997 года № 143-ФЗ "Об актах гражданского состояния" полномочий Российской Федерации на государственную регистрацию актов гражданского состояния за счет средств бюджета автономного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918,0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19.1.02.D9300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496,0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Подпрограмма "Развитие муниципальной службы в муниципальном образовании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1 072,0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профессиональной компетентности муниципальных служащих и иных управленческих кадров города Пыть-Яха, обеспечение устойчивого развития кадрового потенциала и повышения эффективности деятельности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1 012,0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430,6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581,4</w:t>
            </w:r>
          </w:p>
        </w:tc>
      </w:tr>
      <w:tr w:rsidR="002A003A" w:rsidRPr="002A003A" w:rsidTr="007A714F">
        <w:trPr>
          <w:trHeight w:val="803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"Обеспечение мер, способствующих повышению результативности и эффективности муниципальной службы, в том числе по предупреждению коррупции, выявлению и разрешению конфликта интересов в органах местного самоуправления"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Премии и гранты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19.2.02.99990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60,0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Ведомственная целевая программа "Благоустройство города Пыть-Яха на 2017-2019 годы"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57 127,1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Основное мероприятие "Организация освещения улиц"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20.0.01.99990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14 689,7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"Озеленение городской территории"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20.0.02.99990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7 694,8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мест захоронения"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Предоставление субсидий организациям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Субсидии юридическим лицам (кроме некоммерческих организаций), индивидуальным предпринимателям, физическим лицам - производителям товаров, работ, услуг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20.0.03.61100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810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4 713,5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"Содержание городских территорий в соответствии с установленными Правилами и нормами"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20.0.04.99990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29 934,1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Основное мероприятие "Повышение уровня культуры населения"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Реализация мероприятий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20.0.06.99990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95,0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Непрограммные направления деятельности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40.0.00.00000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73 722,2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162 607,6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"Обеспечение деятельности муниципальных органов местного самоуправления"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40.1.00.00000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33 245,6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обеспечение функций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20 940,0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20 186,5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750,8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40.1.00.02040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2,7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Председатель представительного органа муниципального образования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 xml:space="preserve"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</w:t>
            </w: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lastRenderedPageBreak/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40.1.00.02110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4 410,1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Депутаты представительного органа муниципального образования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40.1.00.02120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3 339,2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Руководитель контрольно-счетной палаты муниципального образования и его заместители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40.1.00.02250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4 117,2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Прочие мероприятия органов местного самоуправления городского округа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439,1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419,1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Уплата налогов, сборов и иных платежей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40.1.00.02400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850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20,0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"Осуществление переданных отдельных государственных полномочий, не отнесенные к государственным программам"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в целях обеспечения выполнения функций государственными (муниципальными) органами, казенными учреждениями, органами управления государственными внебюджетными фондами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Расходы на выплаты персоналу государственных (муниципальных) органов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40.4.00.51180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4 762,2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4 921,8</w:t>
            </w:r>
          </w:p>
        </w:tc>
      </w:tr>
      <w:tr w:rsidR="002A003A" w:rsidRPr="002A003A" w:rsidTr="007A714F">
        <w:trPr>
          <w:trHeight w:val="54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Непрограммное направление деятельности "Исполнение отдельных расходных обязательств муниципального образования городской округ город Пыть-Ях"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40.8.00.00000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35 714,4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124 440,2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Условно утверждённые расходы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бюджетные ассигнования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Резервные средства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40.8.00.09990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870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35 170,4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123 896,2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Выполнение полномочий Думы города Пыть-Ях в сфере наград и почетных званий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544,0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Закупка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200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Иные закупки товаров, работ и услуг для обеспечения государственных (муниципальных) нужд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240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256,0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Социальное обеспечение и иные выплаты населению</w:t>
            </w:r>
          </w:p>
        </w:tc>
        <w:tc>
          <w:tcPr>
            <w:tcW w:w="1418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300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nil"/>
              <w:left w:val="single" w:sz="4" w:space="0" w:color="auto"/>
              <w:bottom w:val="nil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30"/>
        </w:trPr>
        <w:tc>
          <w:tcPr>
            <w:tcW w:w="552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Публичные нормативные выплаты гражданам несоциального характера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40.8.00.72020</w:t>
            </w:r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330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288,0</w:t>
            </w:r>
          </w:p>
        </w:tc>
      </w:tr>
      <w:tr w:rsidR="002A003A" w:rsidRPr="002A003A" w:rsidTr="007A714F">
        <w:trPr>
          <w:trHeight w:val="345"/>
        </w:trPr>
        <w:tc>
          <w:tcPr>
            <w:tcW w:w="5529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Всего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85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b/>
                <w:bCs/>
                <w:sz w:val="20"/>
                <w:szCs w:val="20"/>
              </w:rPr>
              <w:t> 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3 168 852,7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2A003A" w:rsidRPr="002A003A" w:rsidRDefault="002A003A" w:rsidP="002A003A">
            <w:pPr>
              <w:spacing w:after="0" w:line="240" w:lineRule="auto"/>
              <w:jc w:val="right"/>
              <w:rPr>
                <w:rFonts w:ascii="Times New Roman" w:eastAsia="Times New Roman" w:hAnsi="Times New Roman"/>
                <w:sz w:val="20"/>
                <w:szCs w:val="20"/>
              </w:rPr>
            </w:pPr>
            <w:r w:rsidRPr="002A003A">
              <w:rPr>
                <w:rFonts w:ascii="Times New Roman" w:eastAsia="Times New Roman" w:hAnsi="Times New Roman"/>
                <w:sz w:val="20"/>
                <w:szCs w:val="20"/>
              </w:rPr>
              <w:t>3 224 522,9</w:t>
            </w:r>
          </w:p>
        </w:tc>
      </w:tr>
    </w:tbl>
    <w:p w:rsidR="002A003A" w:rsidRPr="00342540" w:rsidRDefault="002A003A">
      <w:pPr>
        <w:rPr>
          <w:rFonts w:ascii="Times New Roman" w:hAnsi="Times New Roman"/>
          <w:sz w:val="20"/>
          <w:szCs w:val="20"/>
        </w:rPr>
      </w:pPr>
    </w:p>
    <w:sectPr w:rsidR="002A003A" w:rsidRPr="00342540" w:rsidSect="0071474B">
      <w:headerReference w:type="default" r:id="rId6"/>
      <w:pgSz w:w="11906" w:h="16838"/>
      <w:pgMar w:top="1134" w:right="850" w:bottom="1134" w:left="1276" w:header="708" w:footer="708" w:gutter="0"/>
      <w:pgNumType w:start="117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B3AFE" w:rsidRDefault="00DB3AFE" w:rsidP="00BB172D">
      <w:pPr>
        <w:spacing w:after="0" w:line="240" w:lineRule="auto"/>
      </w:pPr>
      <w:r>
        <w:separator/>
      </w:r>
    </w:p>
  </w:endnote>
  <w:endnote w:type="continuationSeparator" w:id="0">
    <w:p w:rsidR="00DB3AFE" w:rsidRDefault="00DB3AFE" w:rsidP="00BB172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  <w:font w:name="Segoe UI">
    <w:panose1 w:val="020B0502040204020203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B3AFE" w:rsidRDefault="00DB3AFE" w:rsidP="00BB172D">
      <w:pPr>
        <w:spacing w:after="0" w:line="240" w:lineRule="auto"/>
      </w:pPr>
      <w:r>
        <w:separator/>
      </w:r>
    </w:p>
  </w:footnote>
  <w:footnote w:type="continuationSeparator" w:id="0">
    <w:p w:rsidR="00DB3AFE" w:rsidRDefault="00DB3AFE" w:rsidP="00BB172D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426107715"/>
      <w:docPartObj>
        <w:docPartGallery w:val="Page Numbers (Top of Page)"/>
        <w:docPartUnique/>
      </w:docPartObj>
    </w:sdtPr>
    <w:sdtEndPr/>
    <w:sdtContent>
      <w:p w:rsidR="0071474B" w:rsidRDefault="0071474B">
        <w:pPr>
          <w:pStyle w:val="af4"/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9F6C03">
          <w:rPr>
            <w:noProof/>
          </w:rPr>
          <w:t>144</w:t>
        </w:r>
        <w:r>
          <w:fldChar w:fldCharType="end"/>
        </w:r>
      </w:p>
    </w:sdtContent>
  </w:sdt>
  <w:p w:rsidR="004636B0" w:rsidRDefault="004636B0">
    <w:pPr>
      <w:pStyle w:val="af4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42540"/>
    <w:rsid w:val="000D2723"/>
    <w:rsid w:val="00262F80"/>
    <w:rsid w:val="002A003A"/>
    <w:rsid w:val="00342540"/>
    <w:rsid w:val="00453B7D"/>
    <w:rsid w:val="004636B0"/>
    <w:rsid w:val="004B0C57"/>
    <w:rsid w:val="005957A3"/>
    <w:rsid w:val="0071474B"/>
    <w:rsid w:val="007A714F"/>
    <w:rsid w:val="009523A4"/>
    <w:rsid w:val="009F6C03"/>
    <w:rsid w:val="00BB172D"/>
    <w:rsid w:val="00C13F7E"/>
    <w:rsid w:val="00C743DE"/>
    <w:rsid w:val="00C97A6E"/>
    <w:rsid w:val="00DB3A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AF21CA2D-4458-4857-BF05-AAA10B93E22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ru-RU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342540"/>
    <w:rPr>
      <w:rFonts w:ascii="Calibri" w:eastAsia="Calibri" w:hAnsi="Calibri" w:cs="Times New Roman"/>
    </w:rPr>
  </w:style>
  <w:style w:type="paragraph" w:styleId="1">
    <w:name w:val="heading 1"/>
    <w:basedOn w:val="a"/>
    <w:next w:val="a"/>
    <w:link w:val="10"/>
    <w:uiPriority w:val="9"/>
    <w:qFormat/>
    <w:rsid w:val="00C97A6E"/>
    <w:pPr>
      <w:keepNext/>
      <w:keepLines/>
      <w:spacing w:before="240" w:after="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paragraph" w:styleId="2">
    <w:name w:val="heading 2"/>
    <w:basedOn w:val="a"/>
    <w:next w:val="a"/>
    <w:link w:val="20"/>
    <w:uiPriority w:val="9"/>
    <w:semiHidden/>
    <w:unhideWhenUsed/>
    <w:qFormat/>
    <w:rsid w:val="00C97A6E"/>
    <w:pPr>
      <w:keepNext/>
      <w:keepLines/>
      <w:spacing w:before="40" w:after="0"/>
      <w:outlineLvl w:val="1"/>
    </w:pPr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C97A6E"/>
    <w:pPr>
      <w:keepNext/>
      <w:keepLines/>
      <w:spacing w:before="40" w:after="0"/>
      <w:outlineLvl w:val="2"/>
    </w:pPr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C97A6E"/>
    <w:pPr>
      <w:keepNext/>
      <w:keepLines/>
      <w:spacing w:before="40" w:after="0"/>
      <w:outlineLvl w:val="3"/>
    </w:pPr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paragraph" w:styleId="5">
    <w:name w:val="heading 5"/>
    <w:basedOn w:val="a"/>
    <w:next w:val="a"/>
    <w:link w:val="50"/>
    <w:uiPriority w:val="9"/>
    <w:semiHidden/>
    <w:unhideWhenUsed/>
    <w:qFormat/>
    <w:rsid w:val="00C97A6E"/>
    <w:pPr>
      <w:keepNext/>
      <w:keepLines/>
      <w:spacing w:before="40" w:after="0"/>
      <w:outlineLvl w:val="4"/>
    </w:pPr>
    <w:rPr>
      <w:rFonts w:asciiTheme="majorHAnsi" w:eastAsiaTheme="majorEastAsia" w:hAnsiTheme="majorHAnsi" w:cstheme="majorBidi"/>
      <w:color w:val="2E74B5" w:themeColor="accent1" w:themeShade="BF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C97A6E"/>
    <w:pPr>
      <w:keepNext/>
      <w:keepLines/>
      <w:spacing w:before="40" w:after="0"/>
      <w:outlineLvl w:val="5"/>
    </w:pPr>
    <w:rPr>
      <w:rFonts w:asciiTheme="majorHAnsi" w:eastAsiaTheme="majorEastAsia" w:hAnsiTheme="majorHAnsi" w:cstheme="majorBidi"/>
      <w:color w:val="1F4D78" w:themeColor="accent1" w:themeShade="7F"/>
    </w:rPr>
  </w:style>
  <w:style w:type="paragraph" w:styleId="7">
    <w:name w:val="heading 7"/>
    <w:basedOn w:val="a"/>
    <w:next w:val="a"/>
    <w:link w:val="70"/>
    <w:uiPriority w:val="9"/>
    <w:semiHidden/>
    <w:unhideWhenUsed/>
    <w:qFormat/>
    <w:rsid w:val="00C97A6E"/>
    <w:pPr>
      <w:keepNext/>
      <w:keepLines/>
      <w:spacing w:before="40" w:after="0"/>
      <w:outlineLvl w:val="6"/>
    </w:pPr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paragraph" w:styleId="8">
    <w:name w:val="heading 8"/>
    <w:basedOn w:val="a"/>
    <w:next w:val="a"/>
    <w:link w:val="80"/>
    <w:uiPriority w:val="9"/>
    <w:semiHidden/>
    <w:unhideWhenUsed/>
    <w:qFormat/>
    <w:rsid w:val="00C97A6E"/>
    <w:pPr>
      <w:keepNext/>
      <w:keepLines/>
      <w:spacing w:before="40" w:after="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paragraph" w:styleId="9">
    <w:name w:val="heading 9"/>
    <w:basedOn w:val="a"/>
    <w:next w:val="a"/>
    <w:link w:val="90"/>
    <w:uiPriority w:val="9"/>
    <w:semiHidden/>
    <w:unhideWhenUsed/>
    <w:qFormat/>
    <w:rsid w:val="00C97A6E"/>
    <w:pPr>
      <w:keepNext/>
      <w:keepLines/>
      <w:spacing w:before="40" w:after="0"/>
      <w:outlineLvl w:val="8"/>
    </w:pPr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uiPriority w:val="9"/>
    <w:rsid w:val="00C97A6E"/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customStyle="1" w:styleId="20">
    <w:name w:val="Заголовок 2 Знак"/>
    <w:link w:val="2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  <w:sz w:val="26"/>
      <w:szCs w:val="26"/>
    </w:rPr>
  </w:style>
  <w:style w:type="character" w:customStyle="1" w:styleId="30">
    <w:name w:val="Заголовок 3 Знак"/>
    <w:link w:val="3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  <w:sz w:val="24"/>
      <w:szCs w:val="24"/>
    </w:rPr>
  </w:style>
  <w:style w:type="character" w:customStyle="1" w:styleId="40">
    <w:name w:val="Заголовок 4 Знак"/>
    <w:link w:val="4"/>
    <w:uiPriority w:val="9"/>
    <w:semiHidden/>
    <w:rsid w:val="00C97A6E"/>
    <w:rPr>
      <w:rFonts w:asciiTheme="majorHAnsi" w:eastAsiaTheme="majorEastAsia" w:hAnsiTheme="majorHAnsi" w:cstheme="majorBidi"/>
      <w:i/>
      <w:iCs/>
      <w:color w:val="2E74B5" w:themeColor="accent1" w:themeShade="BF"/>
    </w:rPr>
  </w:style>
  <w:style w:type="character" w:customStyle="1" w:styleId="50">
    <w:name w:val="Заголовок 5 Знак"/>
    <w:link w:val="5"/>
    <w:uiPriority w:val="9"/>
    <w:semiHidden/>
    <w:rsid w:val="00C97A6E"/>
    <w:rPr>
      <w:rFonts w:asciiTheme="majorHAnsi" w:eastAsiaTheme="majorEastAsia" w:hAnsiTheme="majorHAnsi" w:cstheme="majorBidi"/>
      <w:color w:val="2E74B5" w:themeColor="accent1" w:themeShade="BF"/>
    </w:rPr>
  </w:style>
  <w:style w:type="character" w:customStyle="1" w:styleId="60">
    <w:name w:val="Заголовок 6 Знак"/>
    <w:link w:val="6"/>
    <w:uiPriority w:val="9"/>
    <w:semiHidden/>
    <w:rsid w:val="00C97A6E"/>
    <w:rPr>
      <w:rFonts w:asciiTheme="majorHAnsi" w:eastAsiaTheme="majorEastAsia" w:hAnsiTheme="majorHAnsi" w:cstheme="majorBidi"/>
      <w:color w:val="1F4D78" w:themeColor="accent1" w:themeShade="7F"/>
    </w:rPr>
  </w:style>
  <w:style w:type="character" w:customStyle="1" w:styleId="70">
    <w:name w:val="Заголовок 7 Знак"/>
    <w:link w:val="7"/>
    <w:uiPriority w:val="9"/>
    <w:semiHidden/>
    <w:rsid w:val="00C97A6E"/>
    <w:rPr>
      <w:rFonts w:asciiTheme="majorHAnsi" w:eastAsiaTheme="majorEastAsia" w:hAnsiTheme="majorHAnsi" w:cstheme="majorBidi"/>
      <w:i/>
      <w:iCs/>
      <w:color w:val="1F4D78" w:themeColor="accent1" w:themeShade="7F"/>
    </w:rPr>
  </w:style>
  <w:style w:type="character" w:customStyle="1" w:styleId="80">
    <w:name w:val="Заголовок 8 Знак"/>
    <w:link w:val="8"/>
    <w:uiPriority w:val="9"/>
    <w:semiHidden/>
    <w:rsid w:val="00C97A6E"/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customStyle="1" w:styleId="90">
    <w:name w:val="Заголовок 9 Знак"/>
    <w:link w:val="9"/>
    <w:uiPriority w:val="9"/>
    <w:semiHidden/>
    <w:rsid w:val="00C97A6E"/>
    <w:rPr>
      <w:rFonts w:asciiTheme="majorHAnsi" w:eastAsiaTheme="majorEastAsia" w:hAnsiTheme="majorHAnsi" w:cstheme="majorBidi"/>
      <w:i/>
      <w:iCs/>
      <w:color w:val="272727" w:themeColor="text1" w:themeTint="D8"/>
      <w:sz w:val="21"/>
      <w:szCs w:val="21"/>
    </w:rPr>
  </w:style>
  <w:style w:type="paragraph" w:styleId="a3">
    <w:name w:val="caption"/>
    <w:basedOn w:val="a"/>
    <w:next w:val="a"/>
    <w:uiPriority w:val="35"/>
    <w:semiHidden/>
    <w:unhideWhenUsed/>
    <w:qFormat/>
    <w:rsid w:val="00C97A6E"/>
    <w:pPr>
      <w:spacing w:after="200" w:line="240" w:lineRule="auto"/>
    </w:pPr>
    <w:rPr>
      <w:rFonts w:asciiTheme="minorHAnsi" w:eastAsiaTheme="minorHAnsi" w:hAnsiTheme="minorHAnsi" w:cstheme="minorBidi"/>
      <w:i/>
      <w:iCs/>
      <w:color w:val="44546A" w:themeColor="text2"/>
      <w:sz w:val="18"/>
      <w:szCs w:val="18"/>
    </w:rPr>
  </w:style>
  <w:style w:type="paragraph" w:styleId="a4">
    <w:name w:val="Title"/>
    <w:basedOn w:val="a"/>
    <w:next w:val="a"/>
    <w:link w:val="a5"/>
    <w:uiPriority w:val="10"/>
    <w:qFormat/>
    <w:rsid w:val="00C97A6E"/>
    <w:pPr>
      <w:spacing w:after="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a5">
    <w:name w:val="Название Знак"/>
    <w:link w:val="a4"/>
    <w:uiPriority w:val="10"/>
    <w:rsid w:val="00C97A6E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a6">
    <w:name w:val="Subtitle"/>
    <w:basedOn w:val="a"/>
    <w:next w:val="a"/>
    <w:link w:val="a7"/>
    <w:uiPriority w:val="11"/>
    <w:qFormat/>
    <w:rsid w:val="00C97A6E"/>
    <w:pPr>
      <w:numPr>
        <w:ilvl w:val="1"/>
      </w:numPr>
    </w:pPr>
    <w:rPr>
      <w:rFonts w:asciiTheme="minorHAnsi" w:eastAsiaTheme="minorEastAsia" w:hAnsiTheme="minorHAnsi" w:cstheme="minorBidi"/>
      <w:color w:val="5A5A5A" w:themeColor="text1" w:themeTint="A5"/>
      <w:spacing w:val="15"/>
    </w:rPr>
  </w:style>
  <w:style w:type="character" w:customStyle="1" w:styleId="a7">
    <w:name w:val="Подзаголовок Знак"/>
    <w:link w:val="a6"/>
    <w:uiPriority w:val="11"/>
    <w:rsid w:val="00C97A6E"/>
    <w:rPr>
      <w:rFonts w:eastAsiaTheme="minorEastAsia"/>
      <w:color w:val="5A5A5A" w:themeColor="text1" w:themeTint="A5"/>
      <w:spacing w:val="15"/>
    </w:rPr>
  </w:style>
  <w:style w:type="character" w:styleId="a8">
    <w:name w:val="Strong"/>
    <w:uiPriority w:val="22"/>
    <w:qFormat/>
    <w:rsid w:val="00C97A6E"/>
    <w:rPr>
      <w:b/>
      <w:bCs/>
    </w:rPr>
  </w:style>
  <w:style w:type="character" w:styleId="a9">
    <w:name w:val="Emphasis"/>
    <w:uiPriority w:val="20"/>
    <w:qFormat/>
    <w:rsid w:val="00C97A6E"/>
    <w:rPr>
      <w:i/>
      <w:iCs/>
    </w:rPr>
  </w:style>
  <w:style w:type="paragraph" w:styleId="aa">
    <w:name w:val="No Spacing"/>
    <w:uiPriority w:val="1"/>
    <w:qFormat/>
    <w:rsid w:val="00C97A6E"/>
    <w:pPr>
      <w:spacing w:after="0" w:line="240" w:lineRule="auto"/>
    </w:pPr>
  </w:style>
  <w:style w:type="paragraph" w:styleId="21">
    <w:name w:val="Quote"/>
    <w:basedOn w:val="a"/>
    <w:next w:val="a"/>
    <w:link w:val="22"/>
    <w:uiPriority w:val="29"/>
    <w:qFormat/>
    <w:rsid w:val="00C97A6E"/>
    <w:pPr>
      <w:spacing w:before="200"/>
      <w:ind w:left="864" w:right="864"/>
      <w:jc w:val="center"/>
    </w:pPr>
    <w:rPr>
      <w:rFonts w:asciiTheme="minorHAnsi" w:eastAsiaTheme="minorHAnsi" w:hAnsiTheme="minorHAnsi" w:cstheme="minorBidi"/>
      <w:i/>
      <w:iCs/>
      <w:color w:val="404040" w:themeColor="text1" w:themeTint="BF"/>
    </w:rPr>
  </w:style>
  <w:style w:type="character" w:customStyle="1" w:styleId="22">
    <w:name w:val="Цитата 2 Знак"/>
    <w:link w:val="21"/>
    <w:uiPriority w:val="29"/>
    <w:rsid w:val="00C97A6E"/>
    <w:rPr>
      <w:i/>
      <w:iCs/>
      <w:color w:val="404040" w:themeColor="text1" w:themeTint="BF"/>
    </w:rPr>
  </w:style>
  <w:style w:type="paragraph" w:styleId="ab">
    <w:name w:val="Intense Quote"/>
    <w:basedOn w:val="a"/>
    <w:next w:val="a"/>
    <w:link w:val="ac"/>
    <w:uiPriority w:val="30"/>
    <w:qFormat/>
    <w:rsid w:val="00C97A6E"/>
    <w:pPr>
      <w:pBdr>
        <w:top w:val="single" w:sz="4" w:space="10" w:color="5B9BD5" w:themeColor="accent1"/>
        <w:bottom w:val="single" w:sz="4" w:space="10" w:color="5B9BD5" w:themeColor="accent1"/>
      </w:pBdr>
      <w:spacing w:before="360" w:after="360"/>
      <w:ind w:left="864" w:right="864"/>
      <w:jc w:val="center"/>
    </w:pPr>
    <w:rPr>
      <w:rFonts w:asciiTheme="minorHAnsi" w:eastAsiaTheme="minorHAnsi" w:hAnsiTheme="minorHAnsi" w:cstheme="minorBidi"/>
      <w:i/>
      <w:iCs/>
      <w:color w:val="5B9BD5" w:themeColor="accent1"/>
    </w:rPr>
  </w:style>
  <w:style w:type="character" w:customStyle="1" w:styleId="ac">
    <w:name w:val="Выделенная цитата Знак"/>
    <w:link w:val="ab"/>
    <w:uiPriority w:val="30"/>
    <w:rsid w:val="00C97A6E"/>
    <w:rPr>
      <w:i/>
      <w:iCs/>
      <w:color w:val="5B9BD5" w:themeColor="accent1"/>
    </w:rPr>
  </w:style>
  <w:style w:type="character" w:styleId="ad">
    <w:name w:val="Subtle Emphasis"/>
    <w:uiPriority w:val="19"/>
    <w:qFormat/>
    <w:rsid w:val="00C97A6E"/>
    <w:rPr>
      <w:i/>
      <w:iCs/>
      <w:color w:val="404040" w:themeColor="text1" w:themeTint="BF"/>
    </w:rPr>
  </w:style>
  <w:style w:type="character" w:styleId="ae">
    <w:name w:val="Intense Emphasis"/>
    <w:uiPriority w:val="21"/>
    <w:qFormat/>
    <w:rsid w:val="00C97A6E"/>
    <w:rPr>
      <w:i/>
      <w:iCs/>
      <w:color w:val="5B9BD5" w:themeColor="accent1"/>
    </w:rPr>
  </w:style>
  <w:style w:type="character" w:styleId="af">
    <w:name w:val="Subtle Reference"/>
    <w:uiPriority w:val="31"/>
    <w:qFormat/>
    <w:rsid w:val="00C97A6E"/>
    <w:rPr>
      <w:smallCaps/>
      <w:color w:val="5A5A5A" w:themeColor="text1" w:themeTint="A5"/>
    </w:rPr>
  </w:style>
  <w:style w:type="character" w:styleId="af0">
    <w:name w:val="Intense Reference"/>
    <w:uiPriority w:val="32"/>
    <w:qFormat/>
    <w:rsid w:val="00C97A6E"/>
    <w:rPr>
      <w:b/>
      <w:bCs/>
      <w:smallCaps/>
      <w:color w:val="5B9BD5" w:themeColor="accent1"/>
      <w:spacing w:val="5"/>
    </w:rPr>
  </w:style>
  <w:style w:type="character" w:styleId="af1">
    <w:name w:val="Book Title"/>
    <w:uiPriority w:val="33"/>
    <w:qFormat/>
    <w:rsid w:val="00C97A6E"/>
    <w:rPr>
      <w:b/>
      <w:bCs/>
      <w:i/>
      <w:iCs/>
      <w:spacing w:val="5"/>
    </w:rPr>
  </w:style>
  <w:style w:type="paragraph" w:styleId="af2">
    <w:name w:val="TOC Heading"/>
    <w:basedOn w:val="1"/>
    <w:next w:val="a"/>
    <w:uiPriority w:val="39"/>
    <w:semiHidden/>
    <w:unhideWhenUsed/>
    <w:qFormat/>
    <w:rsid w:val="00C97A6E"/>
    <w:pPr>
      <w:outlineLvl w:val="9"/>
    </w:pPr>
  </w:style>
  <w:style w:type="table" w:styleId="af3">
    <w:name w:val="Table Grid"/>
    <w:basedOn w:val="a1"/>
    <w:uiPriority w:val="39"/>
    <w:rsid w:val="00342540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4">
    <w:name w:val="header"/>
    <w:basedOn w:val="a"/>
    <w:link w:val="af5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5">
    <w:name w:val="Верхний колонтитул Знак"/>
    <w:basedOn w:val="a0"/>
    <w:link w:val="af4"/>
    <w:uiPriority w:val="99"/>
    <w:rsid w:val="00BB172D"/>
    <w:rPr>
      <w:rFonts w:ascii="Calibri" w:eastAsia="Calibri" w:hAnsi="Calibri" w:cs="Times New Roman"/>
    </w:rPr>
  </w:style>
  <w:style w:type="paragraph" w:styleId="af6">
    <w:name w:val="footer"/>
    <w:basedOn w:val="a"/>
    <w:link w:val="af7"/>
    <w:uiPriority w:val="99"/>
    <w:unhideWhenUsed/>
    <w:rsid w:val="00BB172D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7">
    <w:name w:val="Нижний колонтитул Знак"/>
    <w:basedOn w:val="a0"/>
    <w:link w:val="af6"/>
    <w:uiPriority w:val="99"/>
    <w:rsid w:val="00BB172D"/>
    <w:rPr>
      <w:rFonts w:ascii="Calibri" w:eastAsia="Calibri" w:hAnsi="Calibri" w:cs="Times New Roman"/>
    </w:rPr>
  </w:style>
  <w:style w:type="paragraph" w:styleId="af8">
    <w:name w:val="Balloon Text"/>
    <w:basedOn w:val="a"/>
    <w:link w:val="af9"/>
    <w:uiPriority w:val="99"/>
    <w:semiHidden/>
    <w:unhideWhenUsed/>
    <w:rsid w:val="004B0C5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f9">
    <w:name w:val="Текст выноски Знак"/>
    <w:basedOn w:val="a0"/>
    <w:link w:val="af8"/>
    <w:uiPriority w:val="99"/>
    <w:semiHidden/>
    <w:rsid w:val="004B0C57"/>
    <w:rPr>
      <w:rFonts w:ascii="Segoe UI" w:eastAsia="Calibr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615916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21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59</TotalTime>
  <Pages>1</Pages>
  <Words>13653</Words>
  <Characters>77828</Characters>
  <Application>Microsoft Office Word</Application>
  <DocSecurity>0</DocSecurity>
  <Lines>648</Lines>
  <Paragraphs>182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91299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клавдия Шаталова</dc:creator>
  <cp:keywords/>
  <dc:description/>
  <cp:lastModifiedBy>Duma</cp:lastModifiedBy>
  <cp:revision>12</cp:revision>
  <cp:lastPrinted>2018-08-14T09:34:00Z</cp:lastPrinted>
  <dcterms:created xsi:type="dcterms:W3CDTF">2018-08-07T05:19:00Z</dcterms:created>
  <dcterms:modified xsi:type="dcterms:W3CDTF">2018-08-22T10:33:00Z</dcterms:modified>
</cp:coreProperties>
</file>